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20.04.2015 N 162-пп</w:t>
              <w:br/>
              <w:t xml:space="preserve">"Об утверждении правил награждения, расходования и учета средств из областного бюджета для осуществления ежегодной денежной выплаты лицам, награжденным нагрудным знаком "Почетный донор России" и "Почетный донор СССР"</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20 апреля 2015 г. N 162-пп</w:t>
      </w:r>
    </w:p>
    <w:p>
      <w:pPr>
        <w:pStyle w:val="2"/>
        <w:jc w:val="center"/>
      </w:pPr>
      <w:r>
        <w:rPr>
          <w:sz w:val="20"/>
        </w:rPr>
      </w:r>
    </w:p>
    <w:p>
      <w:pPr>
        <w:pStyle w:val="2"/>
        <w:jc w:val="center"/>
      </w:pPr>
      <w:r>
        <w:rPr>
          <w:sz w:val="20"/>
        </w:rPr>
        <w:t xml:space="preserve">ОБ УТВЕРЖДЕНИИ ПРАВИЛ НАГРАЖДЕНИЯ, РАСХОДОВАНИЯ И УЧЕТА</w:t>
      </w:r>
    </w:p>
    <w:p>
      <w:pPr>
        <w:pStyle w:val="2"/>
        <w:jc w:val="center"/>
      </w:pPr>
      <w:r>
        <w:rPr>
          <w:sz w:val="20"/>
        </w:rPr>
        <w:t xml:space="preserve">СРЕДСТВ ИЗ ОБЛАСТНОГО БЮДЖЕТА ДЛЯ ОСУЩЕСТВЛЕНИЯ ЕЖЕГОДНОЙ</w:t>
      </w:r>
    </w:p>
    <w:p>
      <w:pPr>
        <w:pStyle w:val="2"/>
        <w:jc w:val="center"/>
      </w:pPr>
      <w:r>
        <w:rPr>
          <w:sz w:val="20"/>
        </w:rPr>
        <w:t xml:space="preserve">ДЕНЕЖНОЙ ВЫПЛАТЫ ЛИЦАМ, НАГРАЖДЕННЫМ НАГРУДНЫМ ЗНАКОМ</w:t>
      </w:r>
    </w:p>
    <w:p>
      <w:pPr>
        <w:pStyle w:val="2"/>
        <w:jc w:val="center"/>
      </w:pPr>
      <w:r>
        <w:rPr>
          <w:sz w:val="20"/>
        </w:rPr>
        <w:t xml:space="preserve">"ПОЧЕТНЫЙ ДОНОР РОССИИ" И "ПОЧЕТНЫЙ ДОНОР СССР"</w:t>
      </w:r>
    </w:p>
    <w:p>
      <w:pPr>
        <w:pStyle w:val="0"/>
        <w:ind w:firstLine="540"/>
        <w:jc w:val="both"/>
      </w:pPr>
      <w:r>
        <w:rPr>
          <w:sz w:val="20"/>
        </w:rPr>
      </w:r>
    </w:p>
    <w:p>
      <w:pPr>
        <w:pStyle w:val="0"/>
        <w:ind w:firstLine="540"/>
        <w:jc w:val="both"/>
      </w:pPr>
      <w:r>
        <w:rPr>
          <w:sz w:val="20"/>
        </w:rPr>
        <w:t xml:space="preserve">Во исполнение Федерального </w:t>
      </w:r>
      <w:hyperlink w:history="0" r:id="rId7" w:tooltip="Федеральный закон от 20.07.2012 N 125-ФЗ (ред. от 25.12.2023) &quot;О донорстве крови и ее компонентов&quot; {КонсультантПлюс}">
        <w:r>
          <w:rPr>
            <w:sz w:val="20"/>
            <w:color w:val="0000ff"/>
          </w:rPr>
          <w:t xml:space="preserve">закона</w:t>
        </w:r>
      </w:hyperlink>
      <w:r>
        <w:rPr>
          <w:sz w:val="20"/>
        </w:rPr>
        <w:t xml:space="preserve"> от 20 июля 2012 года N 125-ФЗ "О донорстве крови и ее компонентов", Постановлений Правительства Российской Федерации от 26 ноября 2012 года </w:t>
      </w:r>
      <w:hyperlink w:history="0" r:id="rId8" w:tooltip="Постановление Правительства РФ от 26.11.2012 N 1228 (ред. от 24.01.2023) &quot;О порядке награждения доноров крови и (или) ее компонентов нагрудным знаком &quot;Почетный донор России&quot; (вместе с &quot;Правилами награждения доноров крови и (или) ее компонентов нагрудным знаком &quot;Почетный донор России&quot;) {КонсультантПлюс}">
        <w:r>
          <w:rPr>
            <w:sz w:val="20"/>
            <w:color w:val="0000ff"/>
          </w:rPr>
          <w:t xml:space="preserve">N 1228</w:t>
        </w:r>
      </w:hyperlink>
      <w:r>
        <w:rPr>
          <w:sz w:val="20"/>
        </w:rPr>
        <w:t xml:space="preserve"> "О порядке награждения доноров крови и (или) ее компонентов нагрудным знаком "Почетный донор России", от 9 марта 2013 года </w:t>
      </w:r>
      <w:hyperlink w:history="0" r:id="rId9" w:tooltip="Постановление Правительства РФ от 09.03.2013 N 197 (ред. от 25.05.2016) &quot;О предоставлении субвенций из федерального бюджета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quot;Почетный донор России&quot; (вместе с &quot;Правилами предоставления из федерального бюджета бюджетам субъектов Российской Федерации субвенций на осуществление переданного полномочия Российской Федерации по осуществ {КонсультантПлюс}">
        <w:r>
          <w:rPr>
            <w:sz w:val="20"/>
            <w:color w:val="0000ff"/>
          </w:rPr>
          <w:t xml:space="preserve">N 197</w:t>
        </w:r>
      </w:hyperlink>
      <w:r>
        <w:rPr>
          <w:sz w:val="20"/>
        </w:rPr>
        <w:t xml:space="preserve"> "О предоставлении субвенций из федерального бюджета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 </w:t>
      </w:r>
      <w:hyperlink w:history="0" r:id="rId10" w:tooltip="Приказ Минздрава России от 11.07.2013 N 450н &quot;Об утверждении Порядка осуществления ежегодной денежной выплаты лицам, награжденным нагрудным знаком &quot;Почетный донор России&quot; (Зарегистрировано в Минюсте России 20.08.2013 N 29438) {КонсультантПлюс}">
        <w:r>
          <w:rPr>
            <w:sz w:val="20"/>
            <w:color w:val="0000ff"/>
          </w:rPr>
          <w:t xml:space="preserve">Приказа</w:t>
        </w:r>
      </w:hyperlink>
      <w:r>
        <w:rPr>
          <w:sz w:val="20"/>
        </w:rPr>
        <w:t xml:space="preserve"> Министерства здравоохранения Российской Федерации от 11 июля 2013 года N 450н "Об утверждении Порядка осуществления ежегодной денежной выплаты лицам, награжденным нагрудным знаком "Почетный донор России"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w:t>
      </w:r>
      <w:hyperlink w:history="0" w:anchor="P37" w:tooltip="ПРАВИЛА">
        <w:r>
          <w:rPr>
            <w:sz w:val="20"/>
            <w:color w:val="0000ff"/>
          </w:rPr>
          <w:t xml:space="preserve">правила</w:t>
        </w:r>
      </w:hyperlink>
      <w:r>
        <w:rPr>
          <w:sz w:val="20"/>
        </w:rPr>
        <w:t xml:space="preserve"> награждения жителей Белгородской области нагрудным знаком "Почетный донор России" (прилагаются).</w:t>
      </w:r>
    </w:p>
    <w:p>
      <w:pPr>
        <w:pStyle w:val="0"/>
        <w:ind w:firstLine="540"/>
        <w:jc w:val="both"/>
      </w:pPr>
      <w:r>
        <w:rPr>
          <w:sz w:val="20"/>
        </w:rPr>
      </w:r>
    </w:p>
    <w:p>
      <w:pPr>
        <w:pStyle w:val="0"/>
        <w:ind w:firstLine="540"/>
        <w:jc w:val="both"/>
      </w:pPr>
      <w:r>
        <w:rPr>
          <w:sz w:val="20"/>
        </w:rPr>
        <w:t xml:space="preserve">2. Утвердить </w:t>
      </w:r>
      <w:hyperlink w:history="0" w:anchor="P58" w:tooltip="ПРАВИЛА">
        <w:r>
          <w:rPr>
            <w:sz w:val="20"/>
            <w:color w:val="0000ff"/>
          </w:rPr>
          <w:t xml:space="preserve">правила</w:t>
        </w:r>
      </w:hyperlink>
      <w:r>
        <w:rPr>
          <w:sz w:val="20"/>
        </w:rPr>
        <w:t xml:space="preserve"> расходования и учета средств из областного бюджета для осуществления ежегодной денежной выплаты лицам, награжденным нагрудным знаком "Почетный донор России" и "Почетный донор СССР" (прилагаются).</w:t>
      </w:r>
    </w:p>
    <w:p>
      <w:pPr>
        <w:pStyle w:val="0"/>
        <w:ind w:firstLine="540"/>
        <w:jc w:val="both"/>
      </w:pPr>
      <w:r>
        <w:rPr>
          <w:sz w:val="20"/>
        </w:rPr>
      </w:r>
    </w:p>
    <w:p>
      <w:pPr>
        <w:pStyle w:val="0"/>
        <w:ind w:firstLine="540"/>
        <w:jc w:val="both"/>
      </w:pPr>
      <w:r>
        <w:rPr>
          <w:sz w:val="20"/>
        </w:rPr>
        <w:t xml:space="preserve">3. Утвердить бланк </w:t>
      </w:r>
      <w:hyperlink w:history="0" w:anchor="P85" w:tooltip="                                 ЗАЯВЛЕНИЕ">
        <w:r>
          <w:rPr>
            <w:sz w:val="20"/>
            <w:color w:val="0000ff"/>
          </w:rPr>
          <w:t xml:space="preserve">заявления</w:t>
        </w:r>
      </w:hyperlink>
      <w:r>
        <w:rPr>
          <w:sz w:val="20"/>
        </w:rPr>
        <w:t xml:space="preserve"> о назначении и выплате ежегодной денежной выплаты лицам, награжденным нагрудным знаком "Почетный донор России" и "Почетный донор СССР" (прилагается).</w:t>
      </w:r>
    </w:p>
    <w:p>
      <w:pPr>
        <w:pStyle w:val="0"/>
        <w:ind w:firstLine="540"/>
        <w:jc w:val="both"/>
      </w:pPr>
      <w:r>
        <w:rPr>
          <w:sz w:val="20"/>
        </w:rPr>
      </w:r>
    </w:p>
    <w:p>
      <w:pPr>
        <w:pStyle w:val="0"/>
        <w:ind w:firstLine="540"/>
        <w:jc w:val="both"/>
      </w:pPr>
      <w:r>
        <w:rPr>
          <w:sz w:val="20"/>
        </w:rPr>
        <w:t xml:space="preserve">4. Определить управление социальной защиты населения Белгородской области уполномоченным органом, осуществляющим организацию ежегодной денежной выплаты лицам, награжденным нагрудным знаком "Почетный донор России" и "Почетный донор СССР".</w:t>
      </w:r>
    </w:p>
    <w:p>
      <w:pPr>
        <w:pStyle w:val="0"/>
        <w:ind w:firstLine="540"/>
        <w:jc w:val="both"/>
      </w:pPr>
      <w:r>
        <w:rPr>
          <w:sz w:val="20"/>
        </w:rPr>
      </w:r>
    </w:p>
    <w:p>
      <w:pPr>
        <w:pStyle w:val="0"/>
        <w:ind w:firstLine="540"/>
        <w:jc w:val="both"/>
      </w:pPr>
      <w:r>
        <w:rPr>
          <w:sz w:val="20"/>
        </w:rPr>
        <w:t xml:space="preserve">5. Признать утратившим силу </w:t>
      </w:r>
      <w:hyperlink w:history="0" r:id="rId11" w:tooltip="Постановление правительства Белгородской обл. от 14.12.2004 N 212-пп (ред. от 18.04.2011) &quot;О порядке награждения и предоставления ежегодной денежной выплаты жителям Белгородской области, награжденным нагрудным знаком &quot;Почетный донор России&quot; (вместе с &quot;Правилами расходования и учета средств на предоставление субвенций из федерального бюджета для осуществления ежегодной денежной выплаты жителям Белгородской области, награжденным нагрудным знаком &quot;Почетный донор России&quot; и &quot;Почетный донор СССР&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14 декабря 2004 года N 212-пп "О порядке награждения и предоставления ежегодной денежной выплаты жителям Белгородской области, награжденным нагрудным знаком "Почетный донор России".</w:t>
      </w:r>
    </w:p>
    <w:p>
      <w:pPr>
        <w:pStyle w:val="0"/>
        <w:ind w:firstLine="540"/>
        <w:jc w:val="both"/>
      </w:pPr>
      <w:r>
        <w:rPr>
          <w:sz w:val="20"/>
        </w:rPr>
      </w:r>
    </w:p>
    <w:p>
      <w:pPr>
        <w:pStyle w:val="0"/>
        <w:ind w:firstLine="540"/>
        <w:jc w:val="both"/>
      </w:pPr>
      <w:r>
        <w:rPr>
          <w:sz w:val="20"/>
        </w:rPr>
        <w:t xml:space="preserve">6. Настоящее постановление вступает в силу по истечении 10 дней со дня официального опубликования.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Утверждены</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20 апреля 2015 г. N 162-пп</w:t>
      </w:r>
    </w:p>
    <w:p>
      <w:pPr>
        <w:pStyle w:val="0"/>
        <w:ind w:firstLine="540"/>
        <w:jc w:val="both"/>
      </w:pPr>
      <w:r>
        <w:rPr>
          <w:sz w:val="20"/>
        </w:rPr>
      </w:r>
    </w:p>
    <w:bookmarkStart w:id="37" w:name="P37"/>
    <w:bookmarkEnd w:id="37"/>
    <w:p>
      <w:pPr>
        <w:pStyle w:val="2"/>
        <w:jc w:val="center"/>
      </w:pPr>
      <w:r>
        <w:rPr>
          <w:sz w:val="20"/>
        </w:rPr>
        <w:t xml:space="preserve">ПРАВИЛА</w:t>
      </w:r>
    </w:p>
    <w:p>
      <w:pPr>
        <w:pStyle w:val="2"/>
        <w:jc w:val="center"/>
      </w:pPr>
      <w:r>
        <w:rPr>
          <w:sz w:val="20"/>
        </w:rPr>
        <w:t xml:space="preserve">НАГРАЖДЕНИЯ ЖИТЕЛЕЙ БЕЛГОРОДСКОЙ ОБЛАСТИ</w:t>
      </w:r>
    </w:p>
    <w:p>
      <w:pPr>
        <w:pStyle w:val="2"/>
        <w:jc w:val="center"/>
      </w:pPr>
      <w:r>
        <w:rPr>
          <w:sz w:val="20"/>
        </w:rPr>
        <w:t xml:space="preserve">НАГРУДНЫМ ЗНАКОМ "ПОЧЕТНЫЙ ДОНОР РОССИИ"</w:t>
      </w:r>
    </w:p>
    <w:p>
      <w:pPr>
        <w:pStyle w:val="0"/>
        <w:ind w:firstLine="540"/>
        <w:jc w:val="both"/>
      </w:pPr>
      <w:r>
        <w:rPr>
          <w:sz w:val="20"/>
        </w:rPr>
      </w:r>
    </w:p>
    <w:p>
      <w:pPr>
        <w:pStyle w:val="0"/>
        <w:ind w:firstLine="540"/>
        <w:jc w:val="both"/>
      </w:pPr>
      <w:r>
        <w:rPr>
          <w:sz w:val="20"/>
        </w:rPr>
        <w:t xml:space="preserve">1. Правила награждения жителей Белгородской области нагрудным знаком "Почетный донор России" (далее - Правила) определяют механизм награждения нагрудным знаком "Почетный донор России" жителей Белгородской области, сдавших бесплатно кровь 40 и более раз или плазму крови 60 и более раз.</w:t>
      </w:r>
    </w:p>
    <w:p>
      <w:pPr>
        <w:pStyle w:val="0"/>
        <w:spacing w:before="200" w:line-rule="auto"/>
        <w:ind w:firstLine="540"/>
        <w:jc w:val="both"/>
      </w:pPr>
      <w:r>
        <w:rPr>
          <w:sz w:val="20"/>
        </w:rPr>
        <w:t xml:space="preserve">2. Представление жителей Белгородской области к награждению нагрудным знаком "Почетный донор России" осуществляет департамент здравоохранения и социальной защиты населения области по форме и на основании документов, подтверждающих сдачу крови или плазмы, перечень которых утверждается Министерством здравоохранения и социального развития Российской Федерации.</w:t>
      </w:r>
    </w:p>
    <w:p>
      <w:pPr>
        <w:pStyle w:val="0"/>
        <w:spacing w:before="200" w:line-rule="auto"/>
        <w:ind w:firstLine="540"/>
        <w:jc w:val="both"/>
      </w:pPr>
      <w:r>
        <w:rPr>
          <w:sz w:val="20"/>
        </w:rPr>
        <w:t xml:space="preserve">3. Награждение доноров знаком "Почетный донор России" осуществляется в течение 10 дней после получения приказа Министерства здравоохранения Российской Федерации. Процедура награждения проводится департаментом здравоохранения и социальной защиты населения области совместно с региональным отделением Общероссийской общественной организации "Российский Красный Крест" в торжественной обстановке.</w:t>
      </w:r>
    </w:p>
    <w:p>
      <w:pPr>
        <w:pStyle w:val="0"/>
        <w:spacing w:before="200" w:line-rule="auto"/>
        <w:ind w:firstLine="540"/>
        <w:jc w:val="both"/>
      </w:pPr>
      <w:r>
        <w:rPr>
          <w:sz w:val="20"/>
        </w:rPr>
        <w:t xml:space="preserve">4. В региональном отделении Общероссийской общественной организации "Российский Красный Крест" ведется </w:t>
      </w:r>
      <w:hyperlink w:history="0" r:id="rId12" w:tooltip="Приказ Минздравсоцразвития России от 31.03.2005 N 246 (ред. от 05.04.2012) &quot;Об утверждении форм представления гражданина Российской Федерации к награждению нагрудным знаком &quot;Почетный донор России&quot; и перечня документов, подтверждающих сдачу крови или плазмы крови&quot; (Зарегистрировано в Минюсте России 03.05.2005 N 6566) ------------ Утратил силу или отменен {КонсультантПлюс}">
        <w:r>
          <w:rPr>
            <w:sz w:val="20"/>
            <w:color w:val="0000ff"/>
          </w:rPr>
          <w:t xml:space="preserve">журнал</w:t>
        </w:r>
      </w:hyperlink>
      <w:r>
        <w:rPr>
          <w:sz w:val="20"/>
        </w:rPr>
        <w:t xml:space="preserve"> регистрации доноров, награжденных знаком "Почетный донор России", по форме, утвержденной Приказом Министерства здравоохранения и социального развития Российской Федерации от 31 марта 2005 года N 246 "Об утверждении форм представления гражданина Российской Федерации к награждению нагрудным знаком "Почетный донор России" и перечня документов, подтверждающих сдачу крови или плазмы крови".</w:t>
      </w:r>
    </w:p>
    <w:p>
      <w:pPr>
        <w:pStyle w:val="0"/>
        <w:spacing w:before="200" w:line-rule="auto"/>
        <w:ind w:firstLine="540"/>
        <w:jc w:val="both"/>
      </w:pPr>
      <w:r>
        <w:rPr>
          <w:sz w:val="20"/>
        </w:rPr>
        <w:t xml:space="preserve">5. При вручении нагрудного знака "Почетный донор России" и удостоверения к нему награжденному разъясняются его права на получение социальной поддержки.</w:t>
      </w:r>
    </w:p>
    <w:p>
      <w:pPr>
        <w:pStyle w:val="0"/>
        <w:spacing w:before="200" w:line-rule="auto"/>
        <w:ind w:firstLine="540"/>
        <w:jc w:val="both"/>
      </w:pPr>
      <w:r>
        <w:rPr>
          <w:sz w:val="20"/>
        </w:rPr>
        <w:t xml:space="preserve">6. Копия приказа о награждении знаком "Почетный донор России" в течение 10 дней после его получения направляется департаментом здравоохранения и социальной защиты населения области в управление социальной защиты населения области для осуществления контроля регистрации граждан, награжденных знаком "Почетный донор России".</w:t>
      </w:r>
    </w:p>
    <w:p>
      <w:pPr>
        <w:pStyle w:val="0"/>
        <w:spacing w:before="200" w:line-rule="auto"/>
        <w:ind w:firstLine="540"/>
        <w:jc w:val="both"/>
      </w:pPr>
      <w:r>
        <w:rPr>
          <w:sz w:val="20"/>
        </w:rPr>
        <w:t xml:space="preserve">7. В случае утраты удостоверения "Почетный донор России" выдача дубликата осуществляется Министерством здравоохранения Российской Федерации по ходатайству департамента здравоохранения и социальной защиты населения области за счет средств получателя дубликата удостоверения.</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Утверждены</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20 апреля 2015 г. N 162-пп</w:t>
      </w:r>
    </w:p>
    <w:p>
      <w:pPr>
        <w:pStyle w:val="0"/>
        <w:ind w:firstLine="540"/>
        <w:jc w:val="both"/>
      </w:pPr>
      <w:r>
        <w:rPr>
          <w:sz w:val="20"/>
        </w:rPr>
      </w:r>
    </w:p>
    <w:bookmarkStart w:id="58" w:name="P58"/>
    <w:bookmarkEnd w:id="58"/>
    <w:p>
      <w:pPr>
        <w:pStyle w:val="2"/>
        <w:jc w:val="center"/>
      </w:pPr>
      <w:r>
        <w:rPr>
          <w:sz w:val="20"/>
        </w:rPr>
        <w:t xml:space="preserve">ПРАВИЛА</w:t>
      </w:r>
    </w:p>
    <w:p>
      <w:pPr>
        <w:pStyle w:val="2"/>
        <w:jc w:val="center"/>
      </w:pPr>
      <w:r>
        <w:rPr>
          <w:sz w:val="20"/>
        </w:rPr>
        <w:t xml:space="preserve">РАСХОДОВАНИЯ И УЧЕТА СРЕДСТВ ИЗ ОБЛАСТНОГО БЮДЖЕТА ДЛЯ</w:t>
      </w:r>
    </w:p>
    <w:p>
      <w:pPr>
        <w:pStyle w:val="2"/>
        <w:jc w:val="center"/>
      </w:pPr>
      <w:r>
        <w:rPr>
          <w:sz w:val="20"/>
        </w:rPr>
        <w:t xml:space="preserve">ОСУЩЕСТВЛЕНИЯ ЕЖЕГОДНОЙ ДЕНЕЖНОЙ ВЫПЛАТЫ ЛИЦАМ,</w:t>
      </w:r>
    </w:p>
    <w:p>
      <w:pPr>
        <w:pStyle w:val="2"/>
        <w:jc w:val="center"/>
      </w:pPr>
      <w:r>
        <w:rPr>
          <w:sz w:val="20"/>
        </w:rPr>
        <w:t xml:space="preserve">НАГРАЖДЕННЫМ НАГРУДНЫМ ЗНАКОМ "ПОЧЕТНЫЙ</w:t>
      </w:r>
    </w:p>
    <w:p>
      <w:pPr>
        <w:pStyle w:val="2"/>
        <w:jc w:val="center"/>
      </w:pPr>
      <w:r>
        <w:rPr>
          <w:sz w:val="20"/>
        </w:rPr>
        <w:t xml:space="preserve">ДОНОР РОССИИ" И "ПОЧЕТНЫЙ ДОНОР СССР"</w:t>
      </w:r>
    </w:p>
    <w:p>
      <w:pPr>
        <w:pStyle w:val="0"/>
        <w:ind w:firstLine="540"/>
        <w:jc w:val="both"/>
      </w:pPr>
      <w:r>
        <w:rPr>
          <w:sz w:val="20"/>
        </w:rPr>
      </w:r>
    </w:p>
    <w:p>
      <w:pPr>
        <w:pStyle w:val="0"/>
        <w:ind w:firstLine="540"/>
        <w:jc w:val="both"/>
      </w:pPr>
      <w:r>
        <w:rPr>
          <w:sz w:val="20"/>
        </w:rPr>
        <w:t xml:space="preserve">1. Настоящие правила расходования и учета средств из областного бюджета для осуществления ежегодной денежной выплаты лицам, награжденным нагрудным знаком "Почетный донор России" и "Почетный донор СССР", определяют порядок расходования и учета средств на финансирование расходных обязательств по предоставлению ежегодной денежной выплаты лицам, награжденным нагрудным знаком "Почетный донор России" и "Почетный донор СССР", за счет целевых субвенций из федерального бюджета, предоставляемых в размерах и по срокам в соответствии с </w:t>
      </w:r>
      <w:hyperlink w:history="0" r:id="rId13" w:tooltip="Постановление Правительства РФ от 09.03.2013 N 197 (ред. от 25.05.2016) &quot;О предоставлении субвенций из федерального бюджета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quot;Почетный донор России&quot; (вместе с &quot;Правилами предоставления из федерального бюджета бюджетам субъектов Российской Федерации субвенций на осуществление переданного полномочия Российской Федерации по осуществ {КонсультантПлюс}">
        <w:r>
          <w:rPr>
            <w:sz w:val="20"/>
            <w:color w:val="0000ff"/>
          </w:rPr>
          <w:t xml:space="preserve">Постановлением</w:t>
        </w:r>
      </w:hyperlink>
      <w:r>
        <w:rPr>
          <w:sz w:val="20"/>
        </w:rPr>
        <w:t xml:space="preserve"> Правительства Российской Федерации от 9 марта 2013 года N 197 "О предоставлении субвенций из федерального бюджета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предусмотренных законом Белгородской области на очередной финансовый год и плановый период.</w:t>
      </w:r>
    </w:p>
    <w:p>
      <w:pPr>
        <w:pStyle w:val="0"/>
        <w:spacing w:before="200" w:line-rule="auto"/>
        <w:ind w:firstLine="540"/>
        <w:jc w:val="both"/>
      </w:pPr>
      <w:r>
        <w:rPr>
          <w:sz w:val="20"/>
        </w:rPr>
        <w:t xml:space="preserve">2. Управление социальной защиты населения области осуществляет функции главного распорядителя средств, выделяемых на ежегодную денежную выплату лицам, награжденным нагрудным знаком "Почетный донор России" и "Почетный донор СССР".</w:t>
      </w:r>
    </w:p>
    <w:p>
      <w:pPr>
        <w:pStyle w:val="0"/>
        <w:spacing w:before="200" w:line-rule="auto"/>
        <w:ind w:firstLine="540"/>
        <w:jc w:val="both"/>
      </w:pPr>
      <w:r>
        <w:rPr>
          <w:sz w:val="20"/>
        </w:rPr>
        <w:t xml:space="preserve">3. Уполномоченные органы местного самоуправления муниципальных районов и городских округов в срок до 23 числа текущего месяца направляют заявку на перечисление денежных средств для осуществления выплат в управление социальной защиты населения области с указанием контингента получателей, размера выплаты, согласованных с финансовыми органами муниципальных районов и городских округов.</w:t>
      </w:r>
    </w:p>
    <w:p>
      <w:pPr>
        <w:pStyle w:val="0"/>
        <w:spacing w:before="200" w:line-rule="auto"/>
        <w:ind w:firstLine="540"/>
        <w:jc w:val="both"/>
      </w:pPr>
      <w:r>
        <w:rPr>
          <w:sz w:val="20"/>
        </w:rPr>
        <w:t xml:space="preserve">4. Управление социальной защиты населения области после получения от уполномоченных органов местного самоуправления муниципальных районов и городских округов заявок на перечисление денежных средств формирует и направляет сводную бюджетную заявку на перечисление денежных средств в разрезе муниципальных районов и городских округов в департамент финансов и бюджетной политики области не позднее 25 числа текущего месяца.</w:t>
      </w:r>
    </w:p>
    <w:p>
      <w:pPr>
        <w:pStyle w:val="0"/>
        <w:spacing w:before="200" w:line-rule="auto"/>
        <w:ind w:firstLine="540"/>
        <w:jc w:val="both"/>
      </w:pPr>
      <w:r>
        <w:rPr>
          <w:sz w:val="20"/>
        </w:rPr>
        <w:t xml:space="preserve">5. Департамент финансов и бюджетной политики области с поступлением целевых субвенций из федерального бюджета и получением ежемесячной сводной бюджетной заявки и реестра в электронном виде и на бумажном носителе от управления социальной защиты населения области доводит предельные объемы финансирования управлению социальной защиты населения области в течение пяти рабочих дней со дня получения заявки на лицевой счет главного распорядителя, открытый в Управлении Федерального казначейства по Белгородской области. Управление социальной защиты населения области с лицевого счета получателя средств федерального бюджета в трехдневный срок перечисляет денежные средства платежными поручениями на лицевые счета администраторов доходов - уполномоченных органов местного самоуправления муниципальных районов и городских округов, открытые в Управлении Федерального казначейства по Белгородской области.</w:t>
      </w:r>
    </w:p>
    <w:p>
      <w:pPr>
        <w:pStyle w:val="0"/>
        <w:spacing w:before="200" w:line-rule="auto"/>
        <w:ind w:firstLine="540"/>
        <w:jc w:val="both"/>
      </w:pPr>
      <w:r>
        <w:rPr>
          <w:sz w:val="20"/>
        </w:rPr>
        <w:t xml:space="preserve">6. Уполномоченные органы местного самоуправления муниципальных районов и городских округов в течение пяти рабочих дней после поступления денежных средств на лицевые счета, открытые в Управлении Федерального казначейства по Белгородской области, осуществляют перечисление средств на ежегодную денежную выплату лицам, награжденным нагрудным знаком "Почетный донор России" и "Почетный донор СССР".</w:t>
      </w:r>
    </w:p>
    <w:p>
      <w:pPr>
        <w:pStyle w:val="0"/>
        <w:spacing w:before="200" w:line-rule="auto"/>
        <w:ind w:firstLine="540"/>
        <w:jc w:val="both"/>
      </w:pPr>
      <w:r>
        <w:rPr>
          <w:sz w:val="20"/>
        </w:rPr>
        <w:t xml:space="preserve">Расчет субвенции производится в соответствии с методикой распределения субвенций, указанной в </w:t>
      </w:r>
      <w:hyperlink w:history="0" r:id="rId14" w:tooltip="Закон Белгородской области от 16.11.2007 N 162 (ред. от 19.02.2024) &quot;О бюджетном устройстве и бюджетном процессе в Белгородской области&quot; (принят Белгородской областной Думой 08.11.2007) {КонсультантПлюс}">
        <w:r>
          <w:rPr>
            <w:sz w:val="20"/>
            <w:color w:val="0000ff"/>
          </w:rPr>
          <w:t xml:space="preserve">законе</w:t>
        </w:r>
      </w:hyperlink>
      <w:r>
        <w:rPr>
          <w:sz w:val="20"/>
        </w:rPr>
        <w:t xml:space="preserve"> Белгородской области от 16 ноября 2007 года N 162 "О бюджетном устройстве и бюджетном процессе в Белгородской области".</w:t>
      </w:r>
    </w:p>
    <w:p>
      <w:pPr>
        <w:pStyle w:val="0"/>
        <w:spacing w:before="200" w:line-rule="auto"/>
        <w:ind w:firstLine="540"/>
        <w:jc w:val="both"/>
      </w:pPr>
      <w:r>
        <w:rPr>
          <w:sz w:val="20"/>
        </w:rPr>
        <w:t xml:space="preserve">7. Управление социальной защиты населения области в соответствии с </w:t>
      </w:r>
      <w:hyperlink w:history="0" r:id="rId15" w:tooltip="Приказ ФМБА России от 05.08.2013 N 200 (ред. от 17.06.2015) &quot;Об утверждении формы отчета и сроков его предоставления о произведенных расходах бюджетов субъектов Российской Федерации, связанных с осуществлением ежегодной денежной выплаты лицам, награжденным нагрудным знаком &quot;Почетный донор России&quot; (&quot;Почетный донор СССР&quot;)&quot; (Зарегистрировано в Минюсте России 30.09.2013 N 30063) ------------ Утратил силу или отменен {КонсультантПлюс}">
        <w:r>
          <w:rPr>
            <w:sz w:val="20"/>
            <w:color w:val="0000ff"/>
          </w:rPr>
          <w:t xml:space="preserve">Приказом</w:t>
        </w:r>
      </w:hyperlink>
      <w:r>
        <w:rPr>
          <w:sz w:val="20"/>
        </w:rPr>
        <w:t xml:space="preserve"> Федерального медико-биологического агентства от 5 августа 2013 года N 200 "Об утверждении формы отчета и сроков его предоставления о произведенных расходах бюджетов субъектов Российской Федерации, связанных с осуществлением ежегодной денежной выплаты лицам, награжденным нагрудным знаком "Почетный донор России" ("Почетный донор СССР")" представляет в Федеральное медико-биологическое агентство не позднее 15 числа месяца, следующего за отчетным кварталом, отчет об осуществлении расходов бюджета Белгородской области, источником финансового обеспечения которых является субвенция; ежегодно не позднее 20 января года, следующего за отчетным.</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20 апреля 2015 г. N 162-пп</w:t>
      </w:r>
    </w:p>
    <w:p>
      <w:pPr>
        <w:pStyle w:val="0"/>
        <w:ind w:firstLine="540"/>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уполномоченного органа, в который подается заявление)</w:t>
      </w:r>
    </w:p>
    <w:p>
      <w:pPr>
        <w:pStyle w:val="1"/>
        <w:jc w:val="both"/>
      </w:pPr>
      <w:r>
        <w:rPr>
          <w:sz w:val="20"/>
        </w:rPr>
      </w:r>
    </w:p>
    <w:bookmarkStart w:id="85" w:name="P85"/>
    <w:bookmarkEnd w:id="85"/>
    <w:p>
      <w:pPr>
        <w:pStyle w:val="1"/>
        <w:jc w:val="both"/>
      </w:pPr>
      <w:r>
        <w:rPr>
          <w:sz w:val="20"/>
        </w:rPr>
        <w:t xml:space="preserve">                                 ЗАЯВЛЕНИЕ</w:t>
      </w:r>
    </w:p>
    <w:p>
      <w:pPr>
        <w:pStyle w:val="1"/>
        <w:jc w:val="both"/>
      </w:pPr>
      <w:r>
        <w:rPr>
          <w:sz w:val="20"/>
        </w:rPr>
        <w:t xml:space="preserve">             о назначении и выплате ежегодной денежной выплаты</w:t>
      </w:r>
    </w:p>
    <w:p>
      <w:pPr>
        <w:pStyle w:val="1"/>
        <w:jc w:val="both"/>
      </w:pPr>
      <w:r>
        <w:rPr>
          <w:sz w:val="20"/>
        </w:rPr>
        <w:t xml:space="preserve">                   лицам, награжденным нагрудным знаком</w:t>
      </w:r>
    </w:p>
    <w:p>
      <w:pPr>
        <w:pStyle w:val="1"/>
        <w:jc w:val="both"/>
      </w:pPr>
      <w:r>
        <w:rPr>
          <w:sz w:val="20"/>
        </w:rPr>
        <w:t xml:space="preserve">              "Почетный донор России" и "Почетный донор СССР"</w:t>
      </w:r>
    </w:p>
    <w:p>
      <w:pPr>
        <w:pStyle w:val="1"/>
        <w:jc w:val="both"/>
      </w:pPr>
      <w:r>
        <w:rPr>
          <w:sz w:val="20"/>
        </w:rPr>
      </w:r>
    </w:p>
    <w:p>
      <w:pPr>
        <w:pStyle w:val="1"/>
        <w:jc w:val="both"/>
      </w:pPr>
      <w:r>
        <w:rPr>
          <w:sz w:val="20"/>
        </w:rPr>
        <w:t xml:space="preserve">__________________________________________________________________________,</w:t>
      </w:r>
    </w:p>
    <w:p>
      <w:pPr>
        <w:pStyle w:val="1"/>
        <w:jc w:val="both"/>
      </w:pPr>
      <w:r>
        <w:rPr>
          <w:sz w:val="20"/>
        </w:rPr>
        <w:t xml:space="preserve">                         (фамилия, имя, отчество)</w:t>
      </w:r>
    </w:p>
    <w:p>
      <w:pPr>
        <w:pStyle w:val="1"/>
        <w:jc w:val="both"/>
      </w:pPr>
      <w:r>
        <w:rPr>
          <w:sz w:val="20"/>
        </w:rPr>
        <w:t xml:space="preserve">проживающего(ей) в Белгородской области</w:t>
      </w:r>
    </w:p>
    <w:p>
      <w:pPr>
        <w:pStyle w:val="1"/>
        <w:jc w:val="both"/>
      </w:pPr>
      <w:r>
        <w:rPr>
          <w:sz w:val="20"/>
        </w:rPr>
        <w:t xml:space="preserve">___________________________________________________________________________</w:t>
      </w:r>
    </w:p>
    <w:p>
      <w:pPr>
        <w:pStyle w:val="1"/>
        <w:jc w:val="both"/>
      </w:pPr>
      <w:r>
        <w:rPr>
          <w:sz w:val="20"/>
        </w:rPr>
        <w:t xml:space="preserve">    (сведения  о  месте  жительства,  месте  пребывания  (почтовый  индекс,</w:t>
      </w:r>
    </w:p>
    <w:p>
      <w:pPr>
        <w:pStyle w:val="1"/>
        <w:jc w:val="both"/>
      </w:pPr>
      <w:r>
        <w:rPr>
          <w:sz w:val="20"/>
        </w:rPr>
        <w:t xml:space="preserve">наименование  региона,  района,  города,  иного  населенного пункта, улицы,</w:t>
      </w:r>
    </w:p>
    <w:p>
      <w:pPr>
        <w:pStyle w:val="1"/>
        <w:jc w:val="both"/>
      </w:pPr>
      <w:r>
        <w:rPr>
          <w:sz w:val="20"/>
        </w:rPr>
        <w:t xml:space="preserve">номера  дома, корпуса, квартиры) указываются на основании записи в паспорте</w:t>
      </w:r>
    </w:p>
    <w:p>
      <w:pPr>
        <w:pStyle w:val="1"/>
        <w:jc w:val="both"/>
      </w:pPr>
      <w:r>
        <w:rPr>
          <w:sz w:val="20"/>
        </w:rPr>
        <w:t xml:space="preserve">или  документе,  подтверждающем  регистрацию  по  месту  жительства,  месту</w:t>
      </w:r>
    </w:p>
    <w:p>
      <w:pPr>
        <w:pStyle w:val="1"/>
        <w:jc w:val="both"/>
      </w:pPr>
      <w:r>
        <w:rPr>
          <w:sz w:val="20"/>
        </w:rPr>
        <w:t xml:space="preserve">пребывания  (если предъявляется не паспорт, а иной документ, удостоверяющий</w:t>
      </w:r>
    </w:p>
    <w:p>
      <w:pPr>
        <w:pStyle w:val="1"/>
        <w:jc w:val="both"/>
      </w:pPr>
      <w:r>
        <w:rPr>
          <w:sz w:val="20"/>
        </w:rPr>
        <w:t xml:space="preserve">личность))</w:t>
      </w:r>
    </w:p>
    <w:p>
      <w:pPr>
        <w:pStyle w:val="1"/>
        <w:jc w:val="both"/>
      </w:pPr>
      <w:r>
        <w:rPr>
          <w:sz w:val="20"/>
        </w:rPr>
        <w:t xml:space="preserve">___________________________________________________________________________</w:t>
      </w:r>
    </w:p>
    <w:p>
      <w:pPr>
        <w:pStyle w:val="1"/>
        <w:jc w:val="both"/>
      </w:pPr>
      <w:r>
        <w:rPr>
          <w:sz w:val="20"/>
        </w:rPr>
        <w:t xml:space="preserve">    (сведения   о   месте   фактического   проживания   (почтовый   индекс,</w:t>
      </w:r>
    </w:p>
    <w:p>
      <w:pPr>
        <w:pStyle w:val="1"/>
        <w:jc w:val="both"/>
      </w:pPr>
      <w:r>
        <w:rPr>
          <w:sz w:val="20"/>
        </w:rPr>
        <w:t xml:space="preserve">наименование  региона,  района,  города,  иного  населенного пункта, улицы,</w:t>
      </w:r>
    </w:p>
    <w:p>
      <w:pPr>
        <w:pStyle w:val="1"/>
        <w:jc w:val="both"/>
      </w:pPr>
      <w:r>
        <w:rPr>
          <w:sz w:val="20"/>
        </w:rPr>
        <w:t xml:space="preserve">номера дома, корпуса, квартиры))</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5839"/>
      </w:tblGrid>
      <w:tr>
        <w:tc>
          <w:tcPr>
            <w:tcW w:w="3742" w:type="dxa"/>
          </w:tcPr>
          <w:p>
            <w:pPr>
              <w:pStyle w:val="0"/>
              <w:jc w:val="center"/>
            </w:pPr>
            <w:r>
              <w:rPr>
                <w:sz w:val="20"/>
              </w:rPr>
              <w:t xml:space="preserve">Наименование документа, удостоверяющего личность</w:t>
            </w:r>
          </w:p>
        </w:tc>
        <w:tc>
          <w:tcPr>
            <w:tcW w:w="5839" w:type="dxa"/>
          </w:tcPr>
          <w:p>
            <w:pPr>
              <w:pStyle w:val="0"/>
            </w:pPr>
            <w:r>
              <w:rPr>
                <w:sz w:val="20"/>
              </w:rPr>
            </w:r>
          </w:p>
        </w:tc>
      </w:tr>
      <w:tr>
        <w:tc>
          <w:tcPr>
            <w:tcW w:w="3742" w:type="dxa"/>
          </w:tcPr>
          <w:p>
            <w:pPr>
              <w:pStyle w:val="0"/>
            </w:pPr>
            <w:r>
              <w:rPr>
                <w:sz w:val="20"/>
              </w:rPr>
              <w:t xml:space="preserve">Серия и номер документа</w:t>
            </w:r>
          </w:p>
        </w:tc>
        <w:tc>
          <w:tcPr>
            <w:tcW w:w="5839" w:type="dxa"/>
          </w:tcPr>
          <w:p>
            <w:pPr>
              <w:pStyle w:val="0"/>
            </w:pPr>
            <w:r>
              <w:rPr>
                <w:sz w:val="20"/>
              </w:rPr>
            </w:r>
          </w:p>
        </w:tc>
      </w:tr>
      <w:tr>
        <w:tc>
          <w:tcPr>
            <w:tcW w:w="3742" w:type="dxa"/>
          </w:tcPr>
          <w:p>
            <w:pPr>
              <w:pStyle w:val="0"/>
            </w:pPr>
            <w:r>
              <w:rPr>
                <w:sz w:val="20"/>
              </w:rPr>
              <w:t xml:space="preserve">Кем выдан</w:t>
            </w:r>
          </w:p>
        </w:tc>
        <w:tc>
          <w:tcPr>
            <w:tcW w:w="5839" w:type="dxa"/>
          </w:tcPr>
          <w:p>
            <w:pPr>
              <w:pStyle w:val="0"/>
            </w:pPr>
            <w:r>
              <w:rPr>
                <w:sz w:val="20"/>
              </w:rPr>
            </w:r>
          </w:p>
        </w:tc>
      </w:tr>
      <w:tr>
        <w:tc>
          <w:tcPr>
            <w:tcW w:w="3742" w:type="dxa"/>
          </w:tcPr>
          <w:p>
            <w:pPr>
              <w:pStyle w:val="0"/>
            </w:pPr>
            <w:r>
              <w:rPr>
                <w:sz w:val="20"/>
              </w:rPr>
              <w:t xml:space="preserve">Дата выдачи</w:t>
            </w:r>
          </w:p>
        </w:tc>
        <w:tc>
          <w:tcPr>
            <w:tcW w:w="5839" w:type="dxa"/>
          </w:tcPr>
          <w:p>
            <w:pPr>
              <w:pStyle w:val="0"/>
            </w:pPr>
            <w:r>
              <w:rPr>
                <w:sz w:val="20"/>
              </w:rPr>
            </w:r>
          </w:p>
        </w:tc>
      </w:tr>
    </w:tbl>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42"/>
        <w:gridCol w:w="5839"/>
      </w:tblGrid>
      <w:tr>
        <w:tc>
          <w:tcPr>
            <w:tcW w:w="3742" w:type="dxa"/>
          </w:tcPr>
          <w:p>
            <w:pPr>
              <w:pStyle w:val="0"/>
              <w:jc w:val="center"/>
            </w:pPr>
            <w:r>
              <w:rPr>
                <w:sz w:val="20"/>
              </w:rPr>
              <w:t xml:space="preserve">Сведения об удостоверении о награждении нагрудным знаком</w:t>
            </w:r>
          </w:p>
        </w:tc>
        <w:tc>
          <w:tcPr>
            <w:tcW w:w="5839" w:type="dxa"/>
          </w:tcPr>
          <w:p>
            <w:pPr>
              <w:pStyle w:val="0"/>
              <w:jc w:val="center"/>
            </w:pPr>
            <w:r>
              <w:rPr>
                <w:sz w:val="20"/>
              </w:rPr>
              <w:t xml:space="preserve">"Почетный донор России" или "Почетный донор СССР"</w:t>
            </w:r>
          </w:p>
        </w:tc>
      </w:tr>
      <w:tr>
        <w:tc>
          <w:tcPr>
            <w:tcW w:w="3742" w:type="dxa"/>
          </w:tcPr>
          <w:p>
            <w:pPr>
              <w:pStyle w:val="0"/>
            </w:pPr>
            <w:r>
              <w:rPr>
                <w:sz w:val="20"/>
              </w:rPr>
              <w:t xml:space="preserve">Вид удостоверения</w:t>
            </w:r>
          </w:p>
        </w:tc>
        <w:tc>
          <w:tcPr>
            <w:tcW w:w="5839" w:type="dxa"/>
          </w:tcPr>
          <w:p>
            <w:pPr>
              <w:pStyle w:val="0"/>
            </w:pPr>
            <w:r>
              <w:rPr>
                <w:sz w:val="20"/>
              </w:rPr>
            </w:r>
          </w:p>
        </w:tc>
      </w:tr>
      <w:tr>
        <w:tc>
          <w:tcPr>
            <w:tcW w:w="3742" w:type="dxa"/>
          </w:tcPr>
          <w:p>
            <w:pPr>
              <w:pStyle w:val="0"/>
            </w:pPr>
            <w:r>
              <w:rPr>
                <w:sz w:val="20"/>
              </w:rPr>
              <w:t xml:space="preserve">Номер документа</w:t>
            </w:r>
          </w:p>
        </w:tc>
        <w:tc>
          <w:tcPr>
            <w:tcW w:w="5839" w:type="dxa"/>
          </w:tcPr>
          <w:p>
            <w:pPr>
              <w:pStyle w:val="0"/>
            </w:pPr>
            <w:r>
              <w:rPr>
                <w:sz w:val="20"/>
              </w:rPr>
            </w:r>
          </w:p>
        </w:tc>
      </w:tr>
      <w:tr>
        <w:tc>
          <w:tcPr>
            <w:tcW w:w="3742" w:type="dxa"/>
          </w:tcPr>
          <w:p>
            <w:pPr>
              <w:pStyle w:val="0"/>
            </w:pPr>
            <w:r>
              <w:rPr>
                <w:sz w:val="20"/>
              </w:rPr>
              <w:t xml:space="preserve">Кем выдан</w:t>
            </w:r>
          </w:p>
        </w:tc>
        <w:tc>
          <w:tcPr>
            <w:tcW w:w="5839" w:type="dxa"/>
          </w:tcPr>
          <w:p>
            <w:pPr>
              <w:pStyle w:val="0"/>
            </w:pPr>
            <w:r>
              <w:rPr>
                <w:sz w:val="20"/>
              </w:rPr>
            </w:r>
          </w:p>
        </w:tc>
      </w:tr>
      <w:tr>
        <w:tc>
          <w:tcPr>
            <w:tcW w:w="3742" w:type="dxa"/>
          </w:tcPr>
          <w:p>
            <w:pPr>
              <w:pStyle w:val="0"/>
            </w:pPr>
            <w:r>
              <w:rPr>
                <w:sz w:val="20"/>
              </w:rPr>
              <w:t xml:space="preserve">Дата выдачи</w:t>
            </w:r>
          </w:p>
        </w:tc>
        <w:tc>
          <w:tcPr>
            <w:tcW w:w="5839" w:type="dxa"/>
          </w:tcPr>
          <w:p>
            <w:pPr>
              <w:pStyle w:val="0"/>
            </w:pPr>
            <w:r>
              <w:rPr>
                <w:sz w:val="20"/>
              </w:rPr>
            </w:r>
          </w:p>
        </w:tc>
      </w:tr>
    </w:tbl>
    <w:p>
      <w:pPr>
        <w:pStyle w:val="0"/>
        <w:ind w:firstLine="540"/>
        <w:jc w:val="both"/>
      </w:pPr>
      <w:r>
        <w:rPr>
          <w:sz w:val="20"/>
        </w:rPr>
      </w:r>
    </w:p>
    <w:p>
      <w:pPr>
        <w:pStyle w:val="1"/>
        <w:jc w:val="both"/>
      </w:pPr>
      <w:r>
        <w:rPr>
          <w:sz w:val="20"/>
        </w:rPr>
        <w:t xml:space="preserve">    Прошу выплачивать установленную мне ежегодную денежную выплату</w:t>
      </w:r>
    </w:p>
    <w:p>
      <w:pPr>
        <w:pStyle w:val="1"/>
        <w:jc w:val="both"/>
      </w:pPr>
      <w:r>
        <w:rPr>
          <w:sz w:val="20"/>
        </w:rPr>
        <w:t xml:space="preserve">как _______________________________________________________________________</w:t>
      </w:r>
    </w:p>
    <w:p>
      <w:pPr>
        <w:pStyle w:val="1"/>
        <w:jc w:val="both"/>
      </w:pPr>
      <w:r>
        <w:rPr>
          <w:sz w:val="20"/>
        </w:rPr>
        <w:t xml:space="preserve">                            (указать категорию)</w:t>
      </w:r>
    </w:p>
    <w:p>
      <w:pPr>
        <w:pStyle w:val="1"/>
        <w:jc w:val="both"/>
      </w:pPr>
      <w:r>
        <w:rPr>
          <w:sz w:val="20"/>
        </w:rPr>
        <w:t xml:space="preserve">    через организацию, осуществляющую выплату:</w:t>
      </w:r>
    </w:p>
    <w:p>
      <w:pPr>
        <w:pStyle w:val="1"/>
        <w:jc w:val="both"/>
      </w:pPr>
      <w:r>
        <w:rPr>
          <w:sz w:val="20"/>
        </w:rPr>
      </w:r>
    </w:p>
    <w:p>
      <w:pPr>
        <w:pStyle w:val="1"/>
        <w:jc w:val="both"/>
      </w:pPr>
      <w:r>
        <w:rPr>
          <w:sz w:val="20"/>
        </w:rPr>
        <w:t xml:space="preserve">    а) организацию федеральной почтовой связи</w:t>
      </w:r>
    </w:p>
    <w:p>
      <w:pPr>
        <w:pStyle w:val="1"/>
        <w:jc w:val="both"/>
      </w:pPr>
      <w:r>
        <w:rPr>
          <w:sz w:val="20"/>
        </w:rPr>
        <w:t xml:space="preserve">    _______________________________________________________________________</w:t>
      </w:r>
    </w:p>
    <w:p>
      <w:pPr>
        <w:pStyle w:val="1"/>
        <w:jc w:val="both"/>
      </w:pPr>
      <w:r>
        <w:rPr>
          <w:sz w:val="20"/>
        </w:rPr>
        <w:t xml:space="preserve">          (сведения о реквизитах для почтового перечисления - индекс)</w:t>
      </w:r>
    </w:p>
    <w:p>
      <w:pPr>
        <w:pStyle w:val="1"/>
        <w:jc w:val="both"/>
      </w:pPr>
      <w:r>
        <w:rPr>
          <w:sz w:val="20"/>
        </w:rPr>
        <w:t xml:space="preserve">    б) кредитную организацию</w:t>
      </w:r>
    </w:p>
    <w:p>
      <w:pPr>
        <w:pStyle w:val="1"/>
        <w:jc w:val="both"/>
      </w:pPr>
      <w:r>
        <w:rPr>
          <w:sz w:val="20"/>
        </w:rPr>
        <w:t xml:space="preserve">Наименование  организации,  в  которую  должна  быть  перечислена ежегодная</w:t>
      </w:r>
    </w:p>
    <w:p>
      <w:pPr>
        <w:pStyle w:val="1"/>
        <w:jc w:val="both"/>
      </w:pPr>
      <w:r>
        <w:rPr>
          <w:sz w:val="20"/>
        </w:rPr>
        <w:t xml:space="preserve">денежная выплата __________________________________________________________</w:t>
      </w:r>
    </w:p>
    <w:p>
      <w:pPr>
        <w:pStyle w:val="1"/>
        <w:jc w:val="both"/>
      </w:pPr>
      <w:r>
        <w:rPr>
          <w:sz w:val="20"/>
        </w:rPr>
        <w:t xml:space="preserve">___________________________________________________________________________</w:t>
      </w:r>
    </w:p>
    <w:p>
      <w:pPr>
        <w:pStyle w:val="1"/>
        <w:jc w:val="both"/>
      </w:pPr>
      <w:r>
        <w:rPr>
          <w:sz w:val="20"/>
        </w:rPr>
        <w:t xml:space="preserve">Банковский идентификационный код (БИК) ____________________________________</w:t>
      </w:r>
    </w:p>
    <w:p>
      <w:pPr>
        <w:pStyle w:val="1"/>
        <w:jc w:val="both"/>
      </w:pPr>
      <w:r>
        <w:rPr>
          <w:sz w:val="20"/>
        </w:rPr>
        <w:t xml:space="preserve">Идентификационный номер налогоплательщика (ИНН) ___________________________</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1928"/>
        <w:gridCol w:w="794"/>
        <w:gridCol w:w="773"/>
        <w:gridCol w:w="763"/>
        <w:gridCol w:w="763"/>
        <w:gridCol w:w="763"/>
        <w:gridCol w:w="773"/>
        <w:gridCol w:w="768"/>
        <w:gridCol w:w="768"/>
        <w:gridCol w:w="758"/>
        <w:gridCol w:w="773"/>
      </w:tblGrid>
      <w:tr>
        <w:tc>
          <w:tcPr>
            <w:tcW w:w="1928" w:type="dxa"/>
            <w:tcBorders>
              <w:top w:val="single" w:sz="4"/>
              <w:bottom w:val="single" w:sz="4"/>
            </w:tcBorders>
          </w:tcPr>
          <w:p>
            <w:pPr>
              <w:pStyle w:val="0"/>
              <w:jc w:val="center"/>
            </w:pPr>
            <w:r>
              <w:rPr>
                <w:sz w:val="20"/>
              </w:rPr>
              <w:t xml:space="preserve">N филиала кредитной организации</w:t>
            </w:r>
          </w:p>
        </w:tc>
        <w:tc>
          <w:tcPr>
            <w:tcW w:w="794" w:type="dxa"/>
            <w:tcBorders>
              <w:top w:val="single" w:sz="4"/>
              <w:bottom w:val="single" w:sz="4"/>
            </w:tcBorders>
          </w:tcPr>
          <w:p>
            <w:pPr>
              <w:pStyle w:val="0"/>
            </w:pPr>
            <w:r>
              <w:rPr>
                <w:sz w:val="20"/>
              </w:rPr>
            </w:r>
          </w:p>
        </w:tc>
        <w:tc>
          <w:tcPr>
            <w:tcW w:w="773" w:type="dxa"/>
            <w:tcBorders>
              <w:top w:val="single" w:sz="4"/>
              <w:bottom w:val="single" w:sz="4"/>
            </w:tcBorders>
          </w:tcPr>
          <w:p>
            <w:pPr>
              <w:pStyle w:val="0"/>
            </w:pPr>
            <w:r>
              <w:rPr>
                <w:sz w:val="20"/>
              </w:rPr>
            </w:r>
          </w:p>
        </w:tc>
        <w:tc>
          <w:tcPr>
            <w:tcW w:w="763" w:type="dxa"/>
            <w:tcBorders>
              <w:top w:val="single" w:sz="4"/>
              <w:bottom w:val="single" w:sz="4"/>
            </w:tcBorders>
          </w:tcPr>
          <w:p>
            <w:pPr>
              <w:pStyle w:val="0"/>
            </w:pPr>
            <w:r>
              <w:rPr>
                <w:sz w:val="20"/>
              </w:rPr>
            </w:r>
          </w:p>
        </w:tc>
        <w:tc>
          <w:tcPr>
            <w:tcW w:w="763" w:type="dxa"/>
            <w:tcBorders>
              <w:top w:val="single" w:sz="4"/>
              <w:bottom w:val="single" w:sz="4"/>
            </w:tcBorders>
          </w:tcPr>
          <w:p>
            <w:pPr>
              <w:pStyle w:val="0"/>
            </w:pPr>
            <w:r>
              <w:rPr>
                <w:sz w:val="20"/>
              </w:rPr>
            </w:r>
          </w:p>
        </w:tc>
        <w:tc>
          <w:tcPr>
            <w:tcW w:w="763" w:type="dxa"/>
            <w:tcBorders>
              <w:top w:val="single" w:sz="4"/>
              <w:bottom w:val="single" w:sz="4"/>
            </w:tcBorders>
          </w:tcPr>
          <w:p>
            <w:pPr>
              <w:pStyle w:val="0"/>
            </w:pPr>
            <w:r>
              <w:rPr>
                <w:sz w:val="20"/>
              </w:rPr>
            </w:r>
          </w:p>
        </w:tc>
        <w:tc>
          <w:tcPr>
            <w:tcW w:w="773" w:type="dxa"/>
            <w:tcBorders>
              <w:top w:val="single" w:sz="4"/>
              <w:bottom w:val="single" w:sz="4"/>
            </w:tcBorders>
          </w:tcPr>
          <w:p>
            <w:pPr>
              <w:pStyle w:val="0"/>
            </w:pPr>
            <w:r>
              <w:rPr>
                <w:sz w:val="20"/>
              </w:rPr>
            </w:r>
          </w:p>
        </w:tc>
        <w:tc>
          <w:tcPr>
            <w:tcW w:w="768" w:type="dxa"/>
            <w:tcBorders>
              <w:top w:val="single" w:sz="4"/>
              <w:bottom w:val="single" w:sz="4"/>
            </w:tcBorders>
          </w:tcPr>
          <w:p>
            <w:pPr>
              <w:pStyle w:val="0"/>
            </w:pPr>
            <w:r>
              <w:rPr>
                <w:sz w:val="20"/>
              </w:rPr>
            </w:r>
          </w:p>
        </w:tc>
        <w:tc>
          <w:tcPr>
            <w:tcW w:w="768" w:type="dxa"/>
            <w:tcBorders>
              <w:top w:val="single" w:sz="4"/>
              <w:bottom w:val="single" w:sz="4"/>
            </w:tcBorders>
          </w:tcPr>
          <w:p>
            <w:pPr>
              <w:pStyle w:val="0"/>
            </w:pPr>
            <w:r>
              <w:rPr>
                <w:sz w:val="20"/>
              </w:rPr>
            </w:r>
          </w:p>
        </w:tc>
        <w:tc>
          <w:tcPr>
            <w:tcW w:w="758" w:type="dxa"/>
            <w:tcBorders>
              <w:top w:val="single" w:sz="4"/>
              <w:bottom w:val="single" w:sz="4"/>
            </w:tcBorders>
          </w:tcPr>
          <w:p>
            <w:pPr>
              <w:pStyle w:val="0"/>
            </w:pPr>
            <w:r>
              <w:rPr>
                <w:sz w:val="20"/>
              </w:rPr>
            </w:r>
          </w:p>
        </w:tc>
        <w:tc>
          <w:tcPr>
            <w:tcW w:w="773" w:type="dxa"/>
            <w:tcBorders>
              <w:top w:val="single" w:sz="4"/>
              <w:bottom w:val="single" w:sz="4"/>
            </w:tcBorders>
          </w:tcPr>
          <w:p>
            <w:pPr>
              <w:pStyle w:val="0"/>
            </w:pPr>
            <w:r>
              <w:rPr>
                <w:sz w:val="20"/>
              </w:rPr>
            </w:r>
          </w:p>
        </w:tc>
      </w:tr>
    </w:tbl>
    <w:p>
      <w:pPr>
        <w:pStyle w:val="0"/>
        <w:ind w:firstLine="540"/>
        <w:jc w:val="both"/>
      </w:pPr>
      <w:r>
        <w:rPr>
          <w:sz w:val="20"/>
        </w:rPr>
      </w:r>
    </w:p>
    <w:p>
      <w:pPr>
        <w:pStyle w:val="0"/>
        <w:ind w:firstLine="540"/>
        <w:jc w:val="both"/>
      </w:pPr>
      <w:r>
        <w:rPr>
          <w:sz w:val="20"/>
        </w:rPr>
        <w:t xml:space="preserve">N лицевого счета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tblBorders>
        <w:tblCellMar>
          <w:top w:w="102" w:type="dxa"/>
          <w:left w:w="62" w:type="dxa"/>
          <w:bottom w:w="102" w:type="dxa"/>
          <w:right w:w="62" w:type="dxa"/>
        </w:tblCellMar>
      </w:tblPr>
      <w:tblGrid>
        <w:gridCol w:w="480"/>
        <w:gridCol w:w="480"/>
        <w:gridCol w:w="480"/>
        <w:gridCol w:w="466"/>
        <w:gridCol w:w="466"/>
        <w:gridCol w:w="494"/>
        <w:gridCol w:w="494"/>
        <w:gridCol w:w="451"/>
        <w:gridCol w:w="466"/>
        <w:gridCol w:w="466"/>
        <w:gridCol w:w="480"/>
        <w:gridCol w:w="480"/>
        <w:gridCol w:w="461"/>
        <w:gridCol w:w="480"/>
        <w:gridCol w:w="466"/>
        <w:gridCol w:w="480"/>
        <w:gridCol w:w="480"/>
        <w:gridCol w:w="494"/>
        <w:gridCol w:w="510"/>
        <w:gridCol w:w="510"/>
      </w:tblGrid>
      <w:tr>
        <w:tc>
          <w:tcPr>
            <w:tcW w:w="480"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66" w:type="dxa"/>
            <w:tcBorders>
              <w:top w:val="single" w:sz="4"/>
              <w:bottom w:val="single" w:sz="4"/>
            </w:tcBorders>
          </w:tcPr>
          <w:p>
            <w:pPr>
              <w:pStyle w:val="0"/>
            </w:pPr>
            <w:r>
              <w:rPr>
                <w:sz w:val="20"/>
              </w:rPr>
            </w:r>
          </w:p>
        </w:tc>
        <w:tc>
          <w:tcPr>
            <w:tcW w:w="466" w:type="dxa"/>
            <w:tcBorders>
              <w:top w:val="single" w:sz="4"/>
              <w:bottom w:val="single" w:sz="4"/>
            </w:tcBorders>
          </w:tcPr>
          <w:p>
            <w:pPr>
              <w:pStyle w:val="0"/>
            </w:pPr>
            <w:r>
              <w:rPr>
                <w:sz w:val="20"/>
              </w:rPr>
            </w:r>
          </w:p>
        </w:tc>
        <w:tc>
          <w:tcPr>
            <w:tcW w:w="494" w:type="dxa"/>
            <w:tcBorders>
              <w:top w:val="single" w:sz="4"/>
              <w:bottom w:val="single" w:sz="4"/>
            </w:tcBorders>
          </w:tcPr>
          <w:p>
            <w:pPr>
              <w:pStyle w:val="0"/>
            </w:pPr>
            <w:r>
              <w:rPr>
                <w:sz w:val="20"/>
              </w:rPr>
            </w:r>
          </w:p>
        </w:tc>
        <w:tc>
          <w:tcPr>
            <w:tcW w:w="494" w:type="dxa"/>
            <w:tcBorders>
              <w:top w:val="single" w:sz="4"/>
              <w:bottom w:val="single" w:sz="4"/>
            </w:tcBorders>
          </w:tcPr>
          <w:p>
            <w:pPr>
              <w:pStyle w:val="0"/>
            </w:pPr>
            <w:r>
              <w:rPr>
                <w:sz w:val="20"/>
              </w:rPr>
            </w:r>
          </w:p>
        </w:tc>
        <w:tc>
          <w:tcPr>
            <w:tcW w:w="451" w:type="dxa"/>
            <w:tcBorders>
              <w:top w:val="single" w:sz="4"/>
              <w:bottom w:val="single" w:sz="4"/>
            </w:tcBorders>
          </w:tcPr>
          <w:p>
            <w:pPr>
              <w:pStyle w:val="0"/>
            </w:pPr>
            <w:r>
              <w:rPr>
                <w:sz w:val="20"/>
              </w:rPr>
            </w:r>
          </w:p>
        </w:tc>
        <w:tc>
          <w:tcPr>
            <w:tcW w:w="466" w:type="dxa"/>
            <w:tcBorders>
              <w:top w:val="single" w:sz="4"/>
              <w:bottom w:val="single" w:sz="4"/>
            </w:tcBorders>
          </w:tcPr>
          <w:p>
            <w:pPr>
              <w:pStyle w:val="0"/>
            </w:pPr>
            <w:r>
              <w:rPr>
                <w:sz w:val="20"/>
              </w:rPr>
            </w:r>
          </w:p>
        </w:tc>
        <w:tc>
          <w:tcPr>
            <w:tcW w:w="466"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61"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66"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80" w:type="dxa"/>
            <w:tcBorders>
              <w:top w:val="single" w:sz="4"/>
              <w:bottom w:val="single" w:sz="4"/>
            </w:tcBorders>
          </w:tcPr>
          <w:p>
            <w:pPr>
              <w:pStyle w:val="0"/>
            </w:pPr>
            <w:r>
              <w:rPr>
                <w:sz w:val="20"/>
              </w:rPr>
            </w:r>
          </w:p>
        </w:tc>
        <w:tc>
          <w:tcPr>
            <w:tcW w:w="494" w:type="dxa"/>
            <w:tcBorders>
              <w:top w:val="single" w:sz="4"/>
              <w:bottom w:val="single" w:sz="4"/>
            </w:tcBorders>
          </w:tcPr>
          <w:p>
            <w:pPr>
              <w:pStyle w:val="0"/>
            </w:pPr>
            <w:r>
              <w:rPr>
                <w:sz w:val="20"/>
              </w:rPr>
            </w:r>
          </w:p>
        </w:tc>
        <w:tc>
          <w:tcPr>
            <w:tcW w:w="510" w:type="dxa"/>
            <w:tcBorders>
              <w:top w:val="single" w:sz="4"/>
              <w:bottom w:val="single" w:sz="4"/>
            </w:tcBorders>
          </w:tcPr>
          <w:p>
            <w:pPr>
              <w:pStyle w:val="0"/>
            </w:pPr>
            <w:r>
              <w:rPr>
                <w:sz w:val="20"/>
              </w:rPr>
            </w:r>
          </w:p>
        </w:tc>
        <w:tc>
          <w:tcPr>
            <w:tcW w:w="510" w:type="dxa"/>
            <w:tcBorders>
              <w:top w:val="single" w:sz="4"/>
              <w:bottom w:val="single" w:sz="4"/>
            </w:tcBorders>
          </w:tcPr>
          <w:p>
            <w:pPr>
              <w:pStyle w:val="0"/>
            </w:pPr>
            <w:r>
              <w:rPr>
                <w:sz w:val="20"/>
              </w:rPr>
            </w:r>
          </w:p>
        </w:tc>
      </w:tr>
    </w:tbl>
    <w:p>
      <w:pPr>
        <w:pStyle w:val="0"/>
        <w:ind w:firstLine="540"/>
        <w:jc w:val="both"/>
      </w:pPr>
      <w:r>
        <w:rPr>
          <w:sz w:val="20"/>
        </w:rPr>
      </w:r>
    </w:p>
    <w:p>
      <w:pPr>
        <w:pStyle w:val="1"/>
        <w:jc w:val="both"/>
      </w:pPr>
      <w:r>
        <w:rPr>
          <w:sz w:val="20"/>
        </w:rPr>
        <w:t xml:space="preserve">      Сведения о законном представителе (доверенном лице) при подаче</w:t>
      </w:r>
    </w:p>
    <w:p>
      <w:pPr>
        <w:pStyle w:val="1"/>
        <w:jc w:val="both"/>
      </w:pPr>
      <w:r>
        <w:rPr>
          <w:sz w:val="20"/>
        </w:rPr>
        <w:t xml:space="preserve">    заявления лицом, имеющим право на ежегодную денежную выплату, через</w:t>
      </w:r>
    </w:p>
    <w:p>
      <w:pPr>
        <w:pStyle w:val="1"/>
        <w:jc w:val="both"/>
      </w:pPr>
      <w:r>
        <w:rPr>
          <w:sz w:val="20"/>
        </w:rPr>
        <w:t xml:space="preserve">                законного представителя (доверенного лица)</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законного представителя (доверенного лица))</w:t>
      </w:r>
    </w:p>
    <w:p>
      <w:pPr>
        <w:pStyle w:val="1"/>
        <w:jc w:val="both"/>
      </w:pPr>
      <w:r>
        <w:rPr>
          <w:sz w:val="20"/>
        </w:rPr>
        <w:t xml:space="preserve">___________________________________________________________________________</w:t>
      </w:r>
    </w:p>
    <w:p>
      <w:pPr>
        <w:pStyle w:val="1"/>
        <w:jc w:val="both"/>
      </w:pPr>
      <w:r>
        <w:rPr>
          <w:sz w:val="20"/>
        </w:rPr>
        <w:t xml:space="preserve">     (почтовый адрес места жительства (места пребывания, фактического</w:t>
      </w:r>
    </w:p>
    <w:p>
      <w:pPr>
        <w:pStyle w:val="1"/>
        <w:jc w:val="both"/>
      </w:pPr>
      <w:r>
        <w:rPr>
          <w:sz w:val="20"/>
        </w:rPr>
        <w:t xml:space="preserve">          проживания) законного представителя (доверенного лица))</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5386"/>
      </w:tblGrid>
      <w:tr>
        <w:tc>
          <w:tcPr>
            <w:tcW w:w="4195" w:type="dxa"/>
          </w:tcPr>
          <w:p>
            <w:pPr>
              <w:pStyle w:val="0"/>
            </w:pPr>
            <w:r>
              <w:rPr>
                <w:sz w:val="20"/>
              </w:rPr>
              <w:t xml:space="preserve">Наименование документа, удостоверяющего личность законного представителя (доверенного лица)</w:t>
            </w:r>
          </w:p>
        </w:tc>
        <w:tc>
          <w:tcPr>
            <w:tcW w:w="5386" w:type="dxa"/>
          </w:tcPr>
          <w:p>
            <w:pPr>
              <w:pStyle w:val="0"/>
            </w:pPr>
            <w:r>
              <w:rPr>
                <w:sz w:val="20"/>
              </w:rPr>
            </w:r>
          </w:p>
        </w:tc>
      </w:tr>
      <w:tr>
        <w:tc>
          <w:tcPr>
            <w:tcW w:w="4195" w:type="dxa"/>
          </w:tcPr>
          <w:p>
            <w:pPr>
              <w:pStyle w:val="0"/>
            </w:pPr>
            <w:r>
              <w:rPr>
                <w:sz w:val="20"/>
              </w:rPr>
              <w:t xml:space="preserve">Серия и номер документа</w:t>
            </w:r>
          </w:p>
        </w:tc>
        <w:tc>
          <w:tcPr>
            <w:tcW w:w="5386" w:type="dxa"/>
          </w:tcPr>
          <w:p>
            <w:pPr>
              <w:pStyle w:val="0"/>
            </w:pPr>
            <w:r>
              <w:rPr>
                <w:sz w:val="20"/>
              </w:rPr>
            </w:r>
          </w:p>
        </w:tc>
      </w:tr>
      <w:tr>
        <w:tc>
          <w:tcPr>
            <w:tcW w:w="4195" w:type="dxa"/>
          </w:tcPr>
          <w:p>
            <w:pPr>
              <w:pStyle w:val="0"/>
            </w:pPr>
            <w:r>
              <w:rPr>
                <w:sz w:val="20"/>
              </w:rPr>
              <w:t xml:space="preserve">Кем выдан</w:t>
            </w:r>
          </w:p>
        </w:tc>
        <w:tc>
          <w:tcPr>
            <w:tcW w:w="5386" w:type="dxa"/>
          </w:tcPr>
          <w:p>
            <w:pPr>
              <w:pStyle w:val="0"/>
            </w:pPr>
            <w:r>
              <w:rPr>
                <w:sz w:val="20"/>
              </w:rPr>
            </w:r>
          </w:p>
        </w:tc>
      </w:tr>
      <w:tr>
        <w:tc>
          <w:tcPr>
            <w:tcW w:w="4195" w:type="dxa"/>
          </w:tcPr>
          <w:p>
            <w:pPr>
              <w:pStyle w:val="0"/>
            </w:pPr>
            <w:r>
              <w:rPr>
                <w:sz w:val="20"/>
              </w:rPr>
              <w:t xml:space="preserve">Дата выдачи</w:t>
            </w:r>
          </w:p>
        </w:tc>
        <w:tc>
          <w:tcPr>
            <w:tcW w:w="5386" w:type="dxa"/>
          </w:tcPr>
          <w:p>
            <w:pPr>
              <w:pStyle w:val="0"/>
            </w:pPr>
            <w:r>
              <w:rPr>
                <w:sz w:val="20"/>
              </w:rPr>
            </w:r>
          </w:p>
        </w:tc>
      </w:tr>
    </w:tbl>
    <w:p>
      <w:pPr>
        <w:pStyle w:val="0"/>
        <w:ind w:firstLine="540"/>
        <w:jc w:val="both"/>
      </w:pPr>
      <w:r>
        <w:rPr>
          <w:sz w:val="20"/>
        </w:rPr>
      </w:r>
    </w:p>
    <w:p>
      <w:pPr>
        <w:pStyle w:val="1"/>
        <w:jc w:val="both"/>
      </w:pPr>
      <w:r>
        <w:rPr>
          <w:sz w:val="20"/>
        </w:rPr>
        <w:t xml:space="preserve">Наименование  организации,  выдавшей  документ,  подтверждающий  полномочия</w:t>
      </w:r>
    </w:p>
    <w:p>
      <w:pPr>
        <w:pStyle w:val="1"/>
        <w:jc w:val="both"/>
      </w:pPr>
      <w:r>
        <w:rPr>
          <w:sz w:val="20"/>
        </w:rPr>
        <w:t xml:space="preserve">законного представителя (доверенного лица)</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___________________________________________________________________________</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195"/>
        <w:gridCol w:w="5386"/>
      </w:tblGrid>
      <w:tr>
        <w:tc>
          <w:tcPr>
            <w:tcW w:w="4195" w:type="dxa"/>
          </w:tcPr>
          <w:p>
            <w:pPr>
              <w:pStyle w:val="0"/>
            </w:pPr>
            <w:r>
              <w:rPr>
                <w:sz w:val="20"/>
              </w:rPr>
              <w:t xml:space="preserve">Наименование документа, подтверждающего полномочия законного представителя (доверенного лица)</w:t>
            </w:r>
          </w:p>
        </w:tc>
        <w:tc>
          <w:tcPr>
            <w:tcW w:w="5386" w:type="dxa"/>
          </w:tcPr>
          <w:p>
            <w:pPr>
              <w:pStyle w:val="0"/>
            </w:pPr>
            <w:r>
              <w:rPr>
                <w:sz w:val="20"/>
              </w:rPr>
            </w:r>
          </w:p>
        </w:tc>
      </w:tr>
      <w:tr>
        <w:tc>
          <w:tcPr>
            <w:tcW w:w="4195" w:type="dxa"/>
          </w:tcPr>
          <w:p>
            <w:pPr>
              <w:pStyle w:val="0"/>
            </w:pPr>
            <w:r>
              <w:rPr>
                <w:sz w:val="20"/>
              </w:rPr>
              <w:t xml:space="preserve">Номер документа</w:t>
            </w:r>
          </w:p>
        </w:tc>
        <w:tc>
          <w:tcPr>
            <w:tcW w:w="5386" w:type="dxa"/>
          </w:tcPr>
          <w:p>
            <w:pPr>
              <w:pStyle w:val="0"/>
            </w:pPr>
            <w:r>
              <w:rPr>
                <w:sz w:val="20"/>
              </w:rPr>
            </w:r>
          </w:p>
        </w:tc>
      </w:tr>
      <w:tr>
        <w:tc>
          <w:tcPr>
            <w:tcW w:w="4195" w:type="dxa"/>
          </w:tcPr>
          <w:p>
            <w:pPr>
              <w:pStyle w:val="0"/>
            </w:pPr>
            <w:r>
              <w:rPr>
                <w:sz w:val="20"/>
              </w:rPr>
              <w:t xml:space="preserve">Дата выдачи</w:t>
            </w:r>
          </w:p>
        </w:tc>
        <w:tc>
          <w:tcPr>
            <w:tcW w:w="5386" w:type="dxa"/>
          </w:tcPr>
          <w:p>
            <w:pPr>
              <w:pStyle w:val="0"/>
            </w:pPr>
            <w:r>
              <w:rPr>
                <w:sz w:val="20"/>
              </w:rPr>
            </w:r>
          </w:p>
        </w:tc>
      </w:tr>
    </w:tbl>
    <w:p>
      <w:pPr>
        <w:pStyle w:val="0"/>
        <w:ind w:firstLine="540"/>
        <w:jc w:val="both"/>
      </w:pPr>
      <w:r>
        <w:rPr>
          <w:sz w:val="20"/>
        </w:rPr>
      </w:r>
    </w:p>
    <w:p>
      <w:pPr>
        <w:pStyle w:val="1"/>
        <w:jc w:val="both"/>
      </w:pPr>
      <w:r>
        <w:rPr>
          <w:sz w:val="20"/>
        </w:rPr>
        <w:t xml:space="preserve">    О   принятом  решении  прошу  сообщить  мне  письменно  по  адресу,  по</w:t>
      </w:r>
    </w:p>
    <w:p>
      <w:pPr>
        <w:pStyle w:val="1"/>
        <w:jc w:val="both"/>
      </w:pPr>
      <w:r>
        <w:rPr>
          <w:sz w:val="20"/>
        </w:rPr>
        <w:t xml:space="preserve">телефону, по электронному адресу:</w:t>
      </w:r>
    </w:p>
    <w:p>
      <w:pPr>
        <w:pStyle w:val="1"/>
        <w:jc w:val="both"/>
      </w:pPr>
      <w:r>
        <w:rPr>
          <w:sz w:val="20"/>
        </w:rPr>
        <w:t xml:space="preserve">___________________________________________________________________________</w:t>
      </w:r>
    </w:p>
    <w:p>
      <w:pPr>
        <w:pStyle w:val="1"/>
        <w:jc w:val="both"/>
      </w:pPr>
      <w:r>
        <w:rPr>
          <w:sz w:val="20"/>
        </w:rPr>
        <w:t xml:space="preserve">              (указать способ уведомления о принятом решении)</w:t>
      </w:r>
    </w:p>
    <w:p>
      <w:pPr>
        <w:pStyle w:val="1"/>
        <w:jc w:val="both"/>
      </w:pPr>
      <w:r>
        <w:rPr>
          <w:sz w:val="20"/>
        </w:rPr>
        <w:t xml:space="preserve">    Согласен(на) на обработку указанных мной персональных данных оператором</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уполномоченного  органа по реализации данного Порядка)</w:t>
      </w:r>
    </w:p>
    <w:p>
      <w:pPr>
        <w:pStyle w:val="1"/>
        <w:jc w:val="both"/>
      </w:pPr>
      <w:r>
        <w:rPr>
          <w:sz w:val="20"/>
        </w:rPr>
        <w:t xml:space="preserve">с  целью  реализации мер социальной поддержки, решения вопросов социального</w:t>
      </w:r>
    </w:p>
    <w:p>
      <w:pPr>
        <w:pStyle w:val="1"/>
        <w:jc w:val="both"/>
      </w:pPr>
      <w:r>
        <w:rPr>
          <w:sz w:val="20"/>
        </w:rPr>
        <w:t xml:space="preserve">обслуживания.</w:t>
      </w:r>
    </w:p>
    <w:p>
      <w:pPr>
        <w:pStyle w:val="1"/>
        <w:jc w:val="both"/>
      </w:pPr>
      <w:r>
        <w:rPr>
          <w:sz w:val="20"/>
        </w:rPr>
        <w:t xml:space="preserve">    Перечень   действий  с  персональными  данными:  ввод  в  базу  данных,</w:t>
      </w:r>
    </w:p>
    <w:p>
      <w:pPr>
        <w:pStyle w:val="1"/>
        <w:jc w:val="both"/>
      </w:pPr>
      <w:r>
        <w:rPr>
          <w:sz w:val="20"/>
        </w:rPr>
        <w:t xml:space="preserve">смешанная  обработка,  передача юридическим лицам на основании Соглашений с</w:t>
      </w:r>
    </w:p>
    <w:p>
      <w:pPr>
        <w:pStyle w:val="1"/>
        <w:jc w:val="both"/>
      </w:pPr>
      <w:r>
        <w:rPr>
          <w:sz w:val="20"/>
        </w:rPr>
        <w:t xml:space="preserve">соблюдением конфиденциальности передаваемых данных и использованием средств</w:t>
      </w:r>
    </w:p>
    <w:p>
      <w:pPr>
        <w:pStyle w:val="1"/>
        <w:jc w:val="both"/>
      </w:pPr>
      <w:r>
        <w:rPr>
          <w:sz w:val="20"/>
        </w:rPr>
        <w:t xml:space="preserve">криптозащиты.</w:t>
      </w:r>
    </w:p>
    <w:p>
      <w:pPr>
        <w:pStyle w:val="1"/>
        <w:jc w:val="both"/>
      </w:pPr>
      <w:r>
        <w:rPr>
          <w:sz w:val="20"/>
        </w:rPr>
        <w:t xml:space="preserve">    Срок  или условия прекращения обработки персональных данных: ликвидация</w:t>
      </w:r>
    </w:p>
    <w:p>
      <w:pPr>
        <w:pStyle w:val="1"/>
        <w:jc w:val="both"/>
      </w:pPr>
      <w:r>
        <w:rPr>
          <w:sz w:val="20"/>
        </w:rPr>
        <w:t xml:space="preserve">оператора.</w:t>
      </w:r>
    </w:p>
    <w:p>
      <w:pPr>
        <w:pStyle w:val="1"/>
        <w:jc w:val="both"/>
      </w:pPr>
      <w:r>
        <w:rPr>
          <w:sz w:val="20"/>
        </w:rPr>
        <w:t xml:space="preserve">    Порядок  отзыва согласия на обработку персональных данных: на основании</w:t>
      </w:r>
    </w:p>
    <w:p>
      <w:pPr>
        <w:pStyle w:val="1"/>
        <w:jc w:val="both"/>
      </w:pPr>
      <w:r>
        <w:rPr>
          <w:sz w:val="20"/>
        </w:rPr>
        <w:t xml:space="preserve">заявления субъекта персональных данных.</w:t>
      </w:r>
    </w:p>
    <w:p>
      <w:pPr>
        <w:pStyle w:val="1"/>
        <w:jc w:val="both"/>
      </w:pPr>
      <w:r>
        <w:rPr>
          <w:sz w:val="20"/>
        </w:rPr>
      </w:r>
    </w:p>
    <w:p>
      <w:pPr>
        <w:pStyle w:val="1"/>
        <w:jc w:val="both"/>
      </w:pPr>
      <w:r>
        <w:rPr>
          <w:sz w:val="20"/>
        </w:rPr>
        <w:t xml:space="preserve">                                   ┌──────┬──────┬────────┬───────────────┐</w:t>
      </w:r>
    </w:p>
    <w:p>
      <w:pPr>
        <w:pStyle w:val="1"/>
        <w:jc w:val="both"/>
      </w:pPr>
      <w:r>
        <w:rPr>
          <w:sz w:val="20"/>
        </w:rPr>
        <w:t xml:space="preserve">                                   │      │      │        │Подпись        │</w:t>
      </w:r>
    </w:p>
    <w:p>
      <w:pPr>
        <w:pStyle w:val="1"/>
        <w:jc w:val="both"/>
      </w:pPr>
      <w:r>
        <w:rPr>
          <w:sz w:val="20"/>
        </w:rPr>
        <w:t xml:space="preserve">                                   ├──────┴──────┴────────┤заявителя      │</w:t>
      </w:r>
    </w:p>
    <w:p>
      <w:pPr>
        <w:pStyle w:val="1"/>
        <w:jc w:val="both"/>
      </w:pPr>
      <w:r>
        <w:rPr>
          <w:sz w:val="20"/>
        </w:rPr>
        <w:t xml:space="preserve">                                   │Дата                  │               │</w:t>
      </w:r>
    </w:p>
    <w:p>
      <w:pPr>
        <w:pStyle w:val="1"/>
        <w:jc w:val="both"/>
      </w:pPr>
      <w:r>
        <w:rPr>
          <w:sz w:val="20"/>
        </w:rPr>
        <w:t xml:space="preserve">                                   └──────────────────────┴───────────────┘</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365"/>
        <w:gridCol w:w="5216"/>
      </w:tblGrid>
      <w:tr>
        <w:tc>
          <w:tcPr>
            <w:tcW w:w="4365" w:type="dxa"/>
            <w:vMerge w:val="restart"/>
          </w:tcPr>
          <w:p>
            <w:pPr>
              <w:pStyle w:val="0"/>
            </w:pPr>
            <w:r>
              <w:rPr>
                <w:sz w:val="20"/>
              </w:rPr>
              <w:t xml:space="preserve">Данные, указанные в заявлении, соответствуют документу, удостоверяющему личность</w:t>
            </w:r>
          </w:p>
        </w:tc>
        <w:tc>
          <w:tcPr>
            <w:tcW w:w="5216" w:type="dxa"/>
          </w:tcPr>
          <w:p>
            <w:pPr>
              <w:pStyle w:val="0"/>
              <w:jc w:val="center"/>
            </w:pPr>
            <w:r>
              <w:rPr>
                <w:sz w:val="20"/>
              </w:rPr>
              <w:t xml:space="preserve">Подпись специалиста</w:t>
            </w:r>
          </w:p>
        </w:tc>
      </w:tr>
      <w:tr>
        <w:tc>
          <w:tcPr>
            <w:vMerge w:val="continue"/>
          </w:tcPr>
          <w:p/>
        </w:tc>
        <w:tc>
          <w:tcPr>
            <w:tcW w:w="5216" w:type="dxa"/>
          </w:tcPr>
          <w:p>
            <w:pPr>
              <w:pStyle w:val="0"/>
            </w:pPr>
            <w:r>
              <w:rPr>
                <w:sz w:val="20"/>
              </w:rPr>
            </w:r>
          </w:p>
        </w:tc>
      </w:tr>
    </w:tbl>
    <w:p>
      <w:pPr>
        <w:pStyle w:val="0"/>
        <w:ind w:firstLine="540"/>
        <w:jc w:val="both"/>
      </w:pPr>
      <w:r>
        <w:rPr>
          <w:sz w:val="20"/>
        </w:rPr>
      </w:r>
    </w:p>
    <w:p>
      <w:pPr>
        <w:pStyle w:val="0"/>
        <w:outlineLvl w:val="1"/>
        <w:jc w:val="center"/>
      </w:pPr>
      <w:r>
        <w:rPr>
          <w:sz w:val="20"/>
        </w:rPr>
        <w:t xml:space="preserve">Расписка-уведомление</w:t>
      </w:r>
    </w:p>
    <w:p>
      <w:pPr>
        <w:pStyle w:val="0"/>
        <w:ind w:firstLine="540"/>
        <w:jc w:val="both"/>
      </w:pPr>
      <w:r>
        <w:rPr>
          <w:sz w:val="20"/>
        </w:rPr>
      </w:r>
    </w:p>
    <w:p>
      <w:pPr>
        <w:pStyle w:val="0"/>
        <w:jc w:val="both"/>
      </w:pPr>
      <w:r>
        <w:rPr>
          <w:sz w:val="20"/>
        </w:rPr>
        <w:t xml:space="preserve">Заявление гр. ___________________________________________________</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54"/>
        <w:gridCol w:w="3240"/>
        <w:gridCol w:w="3118"/>
      </w:tblGrid>
      <w:tr>
        <w:tc>
          <w:tcPr>
            <w:tcW w:w="3254" w:type="dxa"/>
            <w:vMerge w:val="restart"/>
          </w:tcPr>
          <w:p>
            <w:pPr>
              <w:pStyle w:val="0"/>
              <w:jc w:val="center"/>
            </w:pPr>
            <w:r>
              <w:rPr>
                <w:sz w:val="20"/>
              </w:rPr>
              <w:t xml:space="preserve">Регистрационный номер заявления</w:t>
            </w:r>
          </w:p>
        </w:tc>
        <w:tc>
          <w:tcPr>
            <w:gridSpan w:val="2"/>
            <w:tcW w:w="6358" w:type="dxa"/>
          </w:tcPr>
          <w:p>
            <w:pPr>
              <w:pStyle w:val="0"/>
              <w:jc w:val="center"/>
            </w:pPr>
            <w:r>
              <w:rPr>
                <w:sz w:val="20"/>
              </w:rPr>
              <w:t xml:space="preserve">Принял</w:t>
            </w:r>
          </w:p>
        </w:tc>
      </w:tr>
      <w:tr>
        <w:tc>
          <w:tcPr>
            <w:vMerge w:val="continue"/>
          </w:tcPr>
          <w:p/>
        </w:tc>
        <w:tc>
          <w:tcPr>
            <w:tcW w:w="3240" w:type="dxa"/>
          </w:tcPr>
          <w:p>
            <w:pPr>
              <w:pStyle w:val="0"/>
              <w:jc w:val="center"/>
            </w:pPr>
            <w:r>
              <w:rPr>
                <w:sz w:val="20"/>
              </w:rPr>
              <w:t xml:space="preserve">Дата приема заявления</w:t>
            </w:r>
          </w:p>
        </w:tc>
        <w:tc>
          <w:tcPr>
            <w:tcW w:w="3118" w:type="dxa"/>
          </w:tcPr>
          <w:p>
            <w:pPr>
              <w:pStyle w:val="0"/>
              <w:jc w:val="center"/>
            </w:pPr>
            <w:r>
              <w:rPr>
                <w:sz w:val="20"/>
              </w:rPr>
              <w:t xml:space="preserve">Подпись специалиста</w:t>
            </w:r>
          </w:p>
        </w:tc>
      </w:tr>
      <w:tr>
        <w:tc>
          <w:tcPr>
            <w:tcW w:w="3254" w:type="dxa"/>
          </w:tcPr>
          <w:p>
            <w:pPr>
              <w:pStyle w:val="0"/>
            </w:pPr>
            <w:r>
              <w:rPr>
                <w:sz w:val="20"/>
              </w:rPr>
            </w:r>
          </w:p>
        </w:tc>
        <w:tc>
          <w:tcPr>
            <w:tcW w:w="3240" w:type="dxa"/>
          </w:tcPr>
          <w:p>
            <w:pPr>
              <w:pStyle w:val="0"/>
            </w:pPr>
            <w:r>
              <w:rPr>
                <w:sz w:val="20"/>
              </w:rPr>
            </w:r>
          </w:p>
        </w:tc>
        <w:tc>
          <w:tcPr>
            <w:tcW w:w="3118" w:type="dxa"/>
          </w:tcPr>
          <w:p>
            <w:pPr>
              <w:pStyle w:val="0"/>
            </w:pPr>
            <w:r>
              <w:rPr>
                <w:sz w:val="20"/>
              </w:rPr>
            </w:r>
          </w:p>
        </w:tc>
      </w:tr>
    </w:tbl>
    <w:p>
      <w:pPr>
        <w:pStyle w:val="0"/>
        <w:ind w:firstLine="540"/>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(линия отреза)</w:t>
      </w:r>
    </w:p>
    <w:p>
      <w:pPr>
        <w:pStyle w:val="1"/>
        <w:jc w:val="both"/>
      </w:pPr>
      <w:r>
        <w:rPr>
          <w:sz w:val="20"/>
        </w:rPr>
      </w:r>
    </w:p>
    <w:p>
      <w:pPr>
        <w:pStyle w:val="1"/>
        <w:jc w:val="both"/>
      </w:pPr>
      <w:r>
        <w:rPr>
          <w:sz w:val="20"/>
        </w:rPr>
        <w:t xml:space="preserve">                           Расписка-уведомление</w:t>
      </w:r>
    </w:p>
    <w:p>
      <w:pPr>
        <w:pStyle w:val="1"/>
        <w:jc w:val="both"/>
      </w:pPr>
      <w:r>
        <w:rPr>
          <w:sz w:val="20"/>
        </w:rPr>
      </w:r>
    </w:p>
    <w:p>
      <w:pPr>
        <w:pStyle w:val="1"/>
        <w:jc w:val="both"/>
      </w:pPr>
      <w:r>
        <w:rPr>
          <w:sz w:val="20"/>
        </w:rPr>
        <w:t xml:space="preserve">Заявление гр. _____________________________________________________________</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254"/>
        <w:gridCol w:w="3240"/>
        <w:gridCol w:w="3118"/>
      </w:tblGrid>
      <w:tr>
        <w:tc>
          <w:tcPr>
            <w:tcW w:w="3254" w:type="dxa"/>
            <w:vMerge w:val="restart"/>
          </w:tcPr>
          <w:p>
            <w:pPr>
              <w:pStyle w:val="0"/>
              <w:jc w:val="center"/>
            </w:pPr>
            <w:r>
              <w:rPr>
                <w:sz w:val="20"/>
              </w:rPr>
              <w:t xml:space="preserve">Регистрационный номер заявления</w:t>
            </w:r>
          </w:p>
        </w:tc>
        <w:tc>
          <w:tcPr>
            <w:gridSpan w:val="2"/>
            <w:tcW w:w="6358" w:type="dxa"/>
          </w:tcPr>
          <w:p>
            <w:pPr>
              <w:pStyle w:val="0"/>
              <w:jc w:val="center"/>
            </w:pPr>
            <w:r>
              <w:rPr>
                <w:sz w:val="20"/>
              </w:rPr>
              <w:t xml:space="preserve">Принял</w:t>
            </w:r>
          </w:p>
        </w:tc>
      </w:tr>
      <w:tr>
        <w:tc>
          <w:tcPr>
            <w:vMerge w:val="continue"/>
          </w:tcPr>
          <w:p/>
        </w:tc>
        <w:tc>
          <w:tcPr>
            <w:tcW w:w="3240" w:type="dxa"/>
          </w:tcPr>
          <w:p>
            <w:pPr>
              <w:pStyle w:val="0"/>
              <w:jc w:val="center"/>
            </w:pPr>
            <w:r>
              <w:rPr>
                <w:sz w:val="20"/>
              </w:rPr>
              <w:t xml:space="preserve">Дата приема заявления</w:t>
            </w:r>
          </w:p>
        </w:tc>
        <w:tc>
          <w:tcPr>
            <w:tcW w:w="3118" w:type="dxa"/>
          </w:tcPr>
          <w:p>
            <w:pPr>
              <w:pStyle w:val="0"/>
              <w:jc w:val="center"/>
            </w:pPr>
            <w:r>
              <w:rPr>
                <w:sz w:val="20"/>
              </w:rPr>
              <w:t xml:space="preserve">Подпись специалиста</w:t>
            </w:r>
          </w:p>
        </w:tc>
      </w:tr>
      <w:tr>
        <w:tc>
          <w:tcPr>
            <w:tcW w:w="3254" w:type="dxa"/>
          </w:tcPr>
          <w:p>
            <w:pPr>
              <w:pStyle w:val="0"/>
            </w:pPr>
            <w:r>
              <w:rPr>
                <w:sz w:val="20"/>
              </w:rPr>
            </w:r>
          </w:p>
        </w:tc>
        <w:tc>
          <w:tcPr>
            <w:tcW w:w="3240" w:type="dxa"/>
          </w:tcPr>
          <w:p>
            <w:pPr>
              <w:pStyle w:val="0"/>
            </w:pPr>
            <w:r>
              <w:rPr>
                <w:sz w:val="20"/>
              </w:rPr>
            </w:r>
          </w:p>
        </w:tc>
        <w:tc>
          <w:tcPr>
            <w:tcW w:w="3118" w:type="dxa"/>
          </w:tcPr>
          <w:p>
            <w:pPr>
              <w:pStyle w:val="0"/>
            </w:pPr>
            <w:r>
              <w:rPr>
                <w:sz w:val="20"/>
              </w:rPr>
            </w:r>
          </w:p>
        </w:tc>
      </w:tr>
    </w:tbl>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20.04.2015 N 162-пп</w:t>
            <w:br/>
            <w:t>"Об утверждении правил награждения, расходования и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65550" TargetMode = "External"/>
	<Relationship Id="rId8" Type="http://schemas.openxmlformats.org/officeDocument/2006/relationships/hyperlink" Target="https://login.consultant.ru/link/?req=doc&amp;base=LAW&amp;n=438350" TargetMode = "External"/>
	<Relationship Id="rId9" Type="http://schemas.openxmlformats.org/officeDocument/2006/relationships/hyperlink" Target="https://login.consultant.ru/link/?req=doc&amp;base=LAW&amp;n=199326" TargetMode = "External"/>
	<Relationship Id="rId10" Type="http://schemas.openxmlformats.org/officeDocument/2006/relationships/hyperlink" Target="https://login.consultant.ru/link/?req=doc&amp;base=LAW&amp;n=151145" TargetMode = "External"/>
	<Relationship Id="rId11" Type="http://schemas.openxmlformats.org/officeDocument/2006/relationships/hyperlink" Target="https://login.consultant.ru/link/?req=doc&amp;base=RLAW404&amp;n=22511" TargetMode = "External"/>
	<Relationship Id="rId12" Type="http://schemas.openxmlformats.org/officeDocument/2006/relationships/hyperlink" Target="https://login.consultant.ru/link/?req=doc&amp;base=LAW&amp;n=129767&amp;dst=100046" TargetMode = "External"/>
	<Relationship Id="rId13" Type="http://schemas.openxmlformats.org/officeDocument/2006/relationships/hyperlink" Target="https://login.consultant.ru/link/?req=doc&amp;base=LAW&amp;n=199326" TargetMode = "External"/>
	<Relationship Id="rId14" Type="http://schemas.openxmlformats.org/officeDocument/2006/relationships/hyperlink" Target="https://login.consultant.ru/link/?req=doc&amp;base=RLAW404&amp;n=96945" TargetMode = "External"/>
	<Relationship Id="rId15" Type="http://schemas.openxmlformats.org/officeDocument/2006/relationships/hyperlink" Target="https://login.consultant.ru/link/?req=doc&amp;base=LAW&amp;n=18458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20.04.2015 N 162-пп
"Об утверждении правил награждения, расходования и учета средств из областного бюджета для осуществления ежегодной денежной выплаты лицам, награжденным нагрудным знаком "Почетный донор России" и "Почетный донор СССР"</dc:title>
  <dcterms:created xsi:type="dcterms:W3CDTF">2024-04-24T09:23:07Z</dcterms:created>
</cp:coreProperties>
</file>